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053B4E4A" w:rsidR="009E099B" w:rsidRDefault="006B0E48">
      <w:pPr>
        <w:pStyle w:val="a9"/>
        <w:ind w:firstLineChars="200" w:firstLine="560"/>
        <w:rPr>
          <w:rFonts w:hint="eastAsia"/>
          <w:szCs w:val="28"/>
        </w:rPr>
      </w:pPr>
      <w:r w:rsidRPr="006B0E4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09DBDE7" wp14:editId="36095C31">
            <wp:simplePos x="0" y="0"/>
            <wp:positionH relativeFrom="column">
              <wp:posOffset>476250</wp:posOffset>
            </wp:positionH>
            <wp:positionV relativeFrom="paragraph">
              <wp:posOffset>436245</wp:posOffset>
            </wp:positionV>
            <wp:extent cx="5875020" cy="4777740"/>
            <wp:effectExtent l="0" t="0" r="0" b="381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5" t="6963" r="29862" b="12089"/>
                    <a:stretch/>
                  </pic:blipFill>
                  <pic:spPr bwMode="auto">
                    <a:xfrm>
                      <a:off x="0" y="0"/>
                      <a:ext cx="5875020" cy="477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>
        <w:rPr>
          <w:rFonts w:hint="eastAsia"/>
          <w:szCs w:val="28"/>
        </w:rPr>
        <w:t>：</w:t>
      </w:r>
    </w:p>
    <w:p w14:paraId="67DBD2B8" w14:textId="77777777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63EFD345" w:rsidR="0097258F" w:rsidRDefault="00BB4B1C">
      <w:pPr>
        <w:pStyle w:val="a9"/>
        <w:ind w:firstLineChars="200" w:firstLine="560"/>
        <w:rPr>
          <w:rFonts w:hint="eastAsia"/>
          <w:szCs w:val="28"/>
        </w:rPr>
      </w:pPr>
      <w:r w:rsidRPr="0097258F">
        <w:rPr>
          <w:noProof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02DCB535" wp14:editId="209A9FA0">
            <wp:simplePos x="0" y="0"/>
            <wp:positionH relativeFrom="column">
              <wp:posOffset>7094220</wp:posOffset>
            </wp:positionH>
            <wp:positionV relativeFrom="paragraph">
              <wp:posOffset>146685</wp:posOffset>
            </wp:positionV>
            <wp:extent cx="6225540" cy="444627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4" t="13926" r="27636" b="19342"/>
                    <a:stretch/>
                  </pic:blipFill>
                  <pic:spPr bwMode="auto">
                    <a:xfrm>
                      <a:off x="0" y="0"/>
                      <a:ext cx="6225540" cy="444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5D00E22E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511065DC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</w:t>
      </w:r>
      <w:r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18C1939B" w14:textId="2553B06B" w:rsidR="00BB4B1C" w:rsidRDefault="00BB4B1C">
      <w:pPr>
        <w:pStyle w:val="a9"/>
        <w:ind w:firstLineChars="200" w:firstLine="560"/>
        <w:rPr>
          <w:rFonts w:hint="eastAsia"/>
          <w:szCs w:val="28"/>
        </w:rPr>
      </w:pPr>
      <w:r w:rsidRPr="0097258F">
        <w:rPr>
          <w:noProof/>
          <w:szCs w:val="28"/>
        </w:rPr>
        <w:drawing>
          <wp:anchor distT="0" distB="0" distL="114300" distR="114300" simplePos="0" relativeHeight="251661312" behindDoc="0" locked="0" layoutInCell="1" allowOverlap="1" wp14:anchorId="0901FF31" wp14:editId="57199854">
            <wp:simplePos x="0" y="0"/>
            <wp:positionH relativeFrom="column">
              <wp:posOffset>95250</wp:posOffset>
            </wp:positionH>
            <wp:positionV relativeFrom="paragraph">
              <wp:posOffset>509270</wp:posOffset>
            </wp:positionV>
            <wp:extent cx="6407785" cy="297942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5" t="24661" r="17199" b="11798"/>
                    <a:stretch/>
                  </pic:blipFill>
                  <pic:spPr bwMode="auto">
                    <a:xfrm>
                      <a:off x="0" y="0"/>
                      <a:ext cx="640778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875EC" w14:textId="77777777" w:rsidR="00BB4B1C" w:rsidRDefault="00BB4B1C">
      <w:pPr>
        <w:pStyle w:val="a9"/>
        <w:ind w:firstLineChars="200" w:firstLine="560"/>
        <w:rPr>
          <w:rFonts w:hint="eastAsia"/>
          <w:szCs w:val="28"/>
        </w:rPr>
      </w:pPr>
    </w:p>
    <w:p w14:paraId="6C43B3BE" w14:textId="4EC2BD4E" w:rsidR="006B0E48" w:rsidRDefault="0097258F">
      <w:pPr>
        <w:pStyle w:val="a9"/>
        <w:ind w:firstLineChars="200" w:firstLine="560"/>
        <w:rPr>
          <w:rFonts w:hint="eastAsia"/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34AB131B" w:rsidR="0097258F" w:rsidRDefault="0097258F">
      <w:pPr>
        <w:pStyle w:val="a9"/>
        <w:rPr>
          <w:szCs w:val="28"/>
        </w:rPr>
      </w:pP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rFonts w:hint="eastAsia"/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rFonts w:hint="eastAsia"/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48ADD" w14:textId="77777777" w:rsidR="00714CCB" w:rsidRDefault="00714CCB" w:rsidP="00E147B7">
      <w:r>
        <w:separator/>
      </w:r>
    </w:p>
  </w:endnote>
  <w:endnote w:type="continuationSeparator" w:id="0">
    <w:p w14:paraId="5683B933" w14:textId="77777777" w:rsidR="00714CCB" w:rsidRDefault="00714CCB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B642E" w14:textId="77777777" w:rsidR="00714CCB" w:rsidRDefault="00714CCB" w:rsidP="00E147B7">
      <w:r>
        <w:separator/>
      </w:r>
    </w:p>
  </w:footnote>
  <w:footnote w:type="continuationSeparator" w:id="0">
    <w:p w14:paraId="6A26CA9A" w14:textId="77777777" w:rsidR="00714CCB" w:rsidRDefault="00714CCB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6BF4"/>
    <w:rsid w:val="007755A9"/>
    <w:rsid w:val="007D2222"/>
    <w:rsid w:val="008F6DB6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2021-12-03T13:45:00Z</dcterms:created>
  <dcterms:modified xsi:type="dcterms:W3CDTF">2021-12-03T14:21:00Z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